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exact" w:line="560" w:before="0" w:after="0"/>
        <w:ind w:right="0" w:left="0" w:firstLine="0"/>
        <w:rPr>
          <w:color w:val="auto"/>
          <w:position w:val="0"/>
          <w:sz w:val="36"/>
          <w:szCs w:val="36"/>
          <w:rFonts w:ascii="彩虹小标宋" w:eastAsia="彩虹小标宋" w:hAnsi="彩虹小标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6"/>
          <w:szCs w:val="36"/>
          <w:rFonts w:ascii="彩虹小标宋" w:eastAsia="彩虹小标宋" w:hAnsi="彩虹小标宋" w:hint="default"/>
        </w:rPr>
        <w:t>福州大学晋江科教园导师科研启动基金管理办法</w:t>
      </w:r>
    </w:p>
    <w:p>
      <w:pPr>
        <w:numPr>
          <w:ilvl w:val="0"/>
          <w:numId w:val="0"/>
        </w:numPr>
        <w:jc w:val="center"/>
        <w:spacing w:lineRule="exact" w:line="560" w:before="0" w:after="0"/>
        <w:ind w:right="0" w:left="0" w:firstLine="0"/>
        <w:rPr>
          <w:color w:val="auto"/>
          <w:position w:val="0"/>
          <w:sz w:val="44"/>
          <w:szCs w:val="44"/>
          <w:rFonts w:ascii="彩虹小标宋" w:eastAsia="彩虹小标宋" w:hAnsi="彩虹小标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（试行）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为了加强福州大学晋江校区财务管理的规范化和科学化，提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高科研项目实施成效，根据国家、省和晋江市有关文件精神，结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合本单位的具体情况，制定本管理办法。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办法所指科研项目以提高科技创新能力，解决经济和社会发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展中的关键、共性科技问题为重点，促进科学研究、技术开发、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科技产业化等方面的协调发展，结合校地办学特点，进一步推动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晋江经济发展及产业转型升级。科研启动基金是指市级财政预算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安排的单位运行经费中拨付的用于支持开展科学技术活动的资金。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黑体" w:eastAsia="彩虹黑体" w:hAnsi="彩虹黑体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黑体" w:eastAsia="彩虹黑体" w:hAnsi="彩虹黑体" w:hint="default"/>
        </w:rPr>
        <w:t>一、科研启动基金管理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根据《福州大学晋江科教园理事会第一届理事会第一次会议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纪要》（[2018]1号）精神，从晋江市财政拨付给晋江市福大科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教园区发展中心的运行经费中，划拨导师科研启动基金，一次性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按理工类专业3万元、人文社科类专业1.5万元的标准给予入驻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科教园学生（驻园时间累计应满一个学期）的指导教师（限第一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导师）配置科研启动基金，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科研项目管理参照《晋江市福大科教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园区发展中心科研项目管理试行办法》。科研启动基金采用事前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立项事后报销机制。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事前立项事后报销是指导师（团队）结合自身研发需要提出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申请，按照规定的程序立项审批通过后，先行开展研究开发活动，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取得发票并通过审核后给予相应报销。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黑体" w:eastAsia="彩虹黑体" w:hAnsi="彩虹黑体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黑体" w:eastAsia="彩虹黑体" w:hAnsi="彩虹黑体" w:hint="default"/>
        </w:rPr>
        <w:t>二、科研启动基金报账范围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科研启动基金主要用于保障在晋江校区的教学科研工作日常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运行所需支出，具体包括：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000000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1.差旅费：包括城市间交通费、住宿费、伙食补助费和市内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 xml:space="preserve">交通费，具体标准参照《中共晋江市委办公室 晋江市人民政府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办公室关于进一步加强党政机关事业单位公用经费管理的若干意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见》（晋委办发〔2016〕16号）中差旅费报销办法</w:t>
      </w:r>
      <w:r>
        <w:rPr>
          <w:color w:val="000000"/>
          <w:position w:val="0"/>
          <w:sz w:val="32"/>
          <w:szCs w:val="32"/>
          <w:rFonts w:ascii="彩虹粗仿宋" w:eastAsia="彩虹粗仿宋" w:hAnsi="彩虹粗仿宋" w:hint="default"/>
        </w:rPr>
        <w:t>，个人先行</w:t>
      </w:r>
      <w:r>
        <w:rPr>
          <w:color w:val="000000"/>
          <w:position w:val="0"/>
          <w:sz w:val="32"/>
          <w:szCs w:val="32"/>
          <w:rFonts w:ascii="彩虹粗仿宋" w:eastAsia="彩虹粗仿宋" w:hAnsi="彩虹粗仿宋" w:hint="default"/>
        </w:rPr>
        <w:t>垫付，再提供报销凭证据实报账。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市内交通费报销需提供市内交通费报销审核表，审核表需出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行人员逐一签字，并经单位负责人签字同意。出差人员由所在单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位、接待单位或其他单位提供交通工具的，不得报销市内交通费。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差旅费报销应提供财务票据、差旅费报销单及相关凭证资料。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2.办公用品购置费，如购买图书、办公用品、文体用品、电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子元件等，须开具普通发票，无具体单价、数量的须附商品清单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（税务系统开具，下同）。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3.实验设备、耗材购置费。相关采购流程如下：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highlight w:val="yellow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highlight w:val="yellow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highlight w:val="yellow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572125" cy="3707765"/>
                <wp:effectExtent l="0" t="0" r="0" b="0"/>
                <wp:docPr id="9" name="组合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2760" cy="3708400"/>
                          <a:chOff x="0" y="0"/>
                          <a:chExt cx="5572760" cy="3708400"/>
                        </a:xfrm>
                        <a:prstGeom prst="rect"/>
                        <a:ln cap="flat"/>
                      </wpg:grpSpPr>
                      <wps:wsp>
                        <wps:cNvPr id="8" name="文本框 8"/>
                        <wps:cNvSpPr txBox="1"/>
                        <wps:spPr>
                          <a:xfrm>
                            <a:off x="635" y="1414145"/>
                            <a:ext cx="1468755" cy="148526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bg1"/>
                          </a:solidFill>
                          <a:ln cap="flat" cmpd="sng">
                            <a:solidFill>
                              <a:schemeClr val="lt1"/>
                            </a:solidFill>
                            <a:prstDash val="solid"/>
                          </a:ln>
                        </wps:spPr>
                        <wps:txbx style="" inset="9pt,9pt,9pt,9pt">
                          <w:txbxContent>
                            <w:p>
                              <w:pPr>
                                <w:bidi w:val="0"/>
                                <w:numPr>
                                  <w:ilvl w:val="0"/>
                                  <w:numId w:val="0"/>
                                </w:numPr>
                                <w:jc w:val="center"/>
                                <w:spacing w:lineRule="auto" w:line="240" w:before="0" w:after="0"/>
                                <w:ind w:right="0" w:left="1" w:hanging="1"/>
                                <w:rPr>
                                  <w:color w:val="000000" w:themeColor="text1"/>
                                  <w:position w:val="0"/>
                                  <w:sz w:val="20"/>
                                  <w:szCs w:val="20"/>
                                  <w:rFonts w:ascii="宋体" w:eastAsia="宋体" w:hAnsi="宋体" w:hint="default"/>
                                </w:rPr>
                                <w:wordWrap w:val="off"/>
                                <w:autoSpaceDE w:val="1"/>
                                <w:autoSpaceDN w:val="1"/>
                              </w:pPr>
                              <w:r>
                                <w:rPr>
                                  <w:color w:val="000000" w:themeColor="text1"/>
                                  <w:position w:val="0"/>
                                  <w:sz w:val="20"/>
                                  <w:szCs w:val="20"/>
                                  <w:rFonts w:ascii="宋体" w:eastAsia="宋体" w:hAnsi="宋体" w:hint="default"/>
                                </w:rPr>
                                <w:t>校园建设与管理科为</w:t>
                              </w:r>
                              <w:r>
                                <w:rPr>
                                  <w:color w:val="000000" w:themeColor="text1"/>
                                  <w:position w:val="0"/>
                                  <w:sz w:val="20"/>
                                  <w:szCs w:val="20"/>
                                  <w:rFonts w:ascii="宋体" w:eastAsia="宋体" w:hAnsi="宋体" w:hint="default"/>
                                </w:rPr>
                                <w:t>每个学部实验员开设</w:t>
                              </w:r>
                              <w:r>
                                <w:rPr>
                                  <w:color w:val="000000" w:themeColor="text1"/>
                                  <w:position w:val="0"/>
                                  <w:sz w:val="20"/>
                                  <w:szCs w:val="20"/>
                                  <w:rFonts w:ascii="宋体" w:eastAsia="宋体" w:hAnsi="宋体" w:hint="default"/>
                                </w:rPr>
                                <w:t>晋江市福大发展中心</w:t>
                              </w:r>
                              <w:r>
                                <w:rPr>
                                  <w:color w:val="000000" w:themeColor="text1"/>
                                  <w:position w:val="0"/>
                                  <w:sz w:val="20"/>
                                  <w:szCs w:val="20"/>
                                  <w:rFonts w:ascii="宋体" w:eastAsia="宋体" w:hAnsi="宋体" w:hint="default"/>
                                </w:rPr>
                                <w:t>的网上超市采购账号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10490" tIns="110490" rIns="110490" bIns="110490" numCol="1" spcCol="0" rtlCol="0" fromWordArt="0" anchor="ctr" anchorCtr="0" forceAA="0" compatLnSpc="0" upright="1">
                          <a:prstTxWarp prst="textNoShape"/>
                        </wps:bodyPr>
                      </wps:wsp>
                      <wps:wsp>
                        <wps:cNvPr id="8" name="形状 8"/>
                        <wps:cNvSpPr/>
                        <wps:spPr>
                          <a:xfrm>
                            <a:off x="1612900" y="1670685"/>
                            <a:ext cx="314325" cy="367665"/>
                          </a:xfrm>
                          <a:prstGeom prst="rightArrow"/>
                          <a:solidFill>
                            <a:schemeClr val="accent1">
                              <a:tint val="60000"/>
                            </a:schemeClr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<a:prstTxWarp prst="textNoShape"/>
                        </wps:bodyPr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1962150" y="1009650"/>
                            <a:ext cx="1661160" cy="268668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bg1"/>
                          </a:solidFill>
                          <a:ln cap="flat" cmpd="sng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txbx style="" inset="9pt,9pt,9pt,9pt">
                          <w:txbxContent>
                            <w:p>
                              <w:pPr>
                                <w:bidi w:val="0"/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spacing w:lineRule="auto" w:line="240" w:before="0" w:after="0"/>
                                <w:ind w:right="0" w:left="1" w:hanging="1"/>
                                <w:rPr>
                                  <w:color w:val="000000" w:themeColor="text1"/>
                                  <w:position w:val="0"/>
                                  <w:sz w:val="20"/>
                                  <w:szCs w:val="20"/>
                                  <w:rFonts w:ascii="宋体" w:eastAsia="宋体" w:hAnsi="宋体" w:hint="default"/>
                                </w:rPr>
                                <w:wordWrap w:val="off"/>
                                <w:autoSpaceDE w:val="1"/>
                                <w:autoSpaceDN w:val="1"/>
                              </w:pPr>
                              <w:r>
                                <w:rPr>
                                  <w:color w:val="000000" w:themeColor="text1"/>
                                  <w:position w:val="0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:rFonts w:ascii="宋体" w:eastAsia="宋体" w:hAnsi="宋体" w:hint="default"/>
                                </w:rPr>
                                <w:t>线上备案和线下申报同</w:t>
                              </w:r>
                              <w:r>
                                <w:rPr>
                                  <w:color w:val="000000" w:themeColor="text1"/>
                                  <w:position w:val="0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:rFonts w:ascii="宋体" w:eastAsia="宋体" w:hAnsi="宋体" w:hint="default"/>
                                </w:rPr>
                                <w:t>时进行（线上备案由各</w:t>
                              </w:r>
                              <w:r>
                                <w:rPr>
                                  <w:color w:val="000000" w:themeColor="text1"/>
                                  <w:position w:val="0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:rFonts w:ascii="宋体" w:eastAsia="宋体" w:hAnsi="宋体" w:hint="default"/>
                                </w:rPr>
                                <w:t>实验员负责本学部采购</w:t>
                              </w:r>
                              <w:r>
                                <w:rPr>
                                  <w:color w:val="000000" w:themeColor="text1"/>
                                  <w:position w:val="0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:rFonts w:ascii="宋体" w:eastAsia="宋体" w:hAnsi="宋体" w:hint="default"/>
                                </w:rPr>
                                <w:t>备案，线下申报1万元</w:t>
                              </w:r>
                              <w:r>
                                <w:rPr>
                                  <w:color w:val="000000" w:themeColor="text1"/>
                                  <w:position w:val="0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:rFonts w:ascii="宋体" w:eastAsia="宋体" w:hAnsi="宋体" w:hint="default"/>
                                </w:rPr>
                                <w:t>以下由实验员、校园建</w:t>
                              </w:r>
                              <w:r>
                                <w:rPr>
                                  <w:color w:val="000000" w:themeColor="text1"/>
                                  <w:position w:val="0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:rFonts w:ascii="宋体" w:eastAsia="宋体" w:hAnsi="宋体" w:hint="default"/>
                                </w:rPr>
                                <w:t>设与管理科分管领导审</w:t>
                              </w:r>
                              <w:r>
                                <w:rPr>
                                  <w:color w:val="000000" w:themeColor="text1"/>
                                  <w:position w:val="0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:rFonts w:ascii="宋体" w:eastAsia="宋体" w:hAnsi="宋体" w:hint="default"/>
                                </w:rPr>
                                <w:t>批，1万元以上3万元</w:t>
                              </w:r>
                              <w:r>
                                <w:rPr>
                                  <w:color w:val="000000" w:themeColor="text1"/>
                                  <w:position w:val="0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:rFonts w:ascii="宋体" w:eastAsia="宋体" w:hAnsi="宋体" w:hint="default"/>
                                </w:rPr>
                                <w:t>（含3万元）以下由实</w:t>
                              </w:r>
                              <w:r>
                                <w:rPr>
                                  <w:color w:val="000000" w:themeColor="text1"/>
                                  <w:position w:val="0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:rFonts w:ascii="宋体" w:eastAsia="宋体" w:hAnsi="宋体" w:hint="default"/>
                                </w:rPr>
                                <w:t>验员、校园建设与管理</w:t>
                              </w:r>
                              <w:r>
                                <w:rPr>
                                  <w:color w:val="000000" w:themeColor="text1"/>
                                  <w:position w:val="0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:rFonts w:ascii="宋体" w:eastAsia="宋体" w:hAnsi="宋体" w:hint="default"/>
                                </w:rPr>
                                <w:t>科分管领导、管委会主</w:t>
                              </w:r>
                              <w:r>
                                <w:rPr>
                                  <w:color w:val="000000" w:themeColor="text1"/>
                                  <w:position w:val="0"/>
                                  <w:sz w:val="20"/>
                                  <w:szCs w:val="20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  <w:rFonts w:ascii="宋体" w:eastAsia="宋体" w:hAnsi="宋体" w:hint="default"/>
                                </w:rPr>
                                <w:t>任审批）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10490" tIns="110490" rIns="110490" bIns="110490" numCol="1" spcCol="0" rtlCol="0" fromWordArt="0" anchor="ctr" anchorCtr="0" forceAA="0" compatLnSpc="0" upright="1">
                          <a:prstTxWarp prst="textNoShape"/>
                        </wps:bodyPr>
                      </wps:wsp>
                      <wps:wsp>
                        <wps:cNvPr id="8" name="形状 8"/>
                        <wps:cNvSpPr/>
                        <wps:spPr>
                          <a:xfrm>
                            <a:off x="3662680" y="1670685"/>
                            <a:ext cx="314325" cy="367665"/>
                          </a:xfrm>
                          <a:prstGeom prst="rightArrow"/>
                          <a:solidFill>
                            <a:schemeClr val="accent1">
                              <a:tint val="60000"/>
                            </a:schemeClr>
                          </a:solidFill>
                          <a:ln cap="flat">
                            <a:noFill/>
                          </a:ln>
                        </wps:spPr>
                        <wps:bodyPr rot="0" spcFirstLastPara="0" vertOverflow="overflow" horzOverflow="overflow" vert="horz" wrap="square" lIns="0" tIns="0" rIns="0" bIns="0" numCol="1" spcCol="0" rtlCol="0" fromWordArt="0" anchor="t" anchorCtr="0" forceAA="0" compatLnSpc="0">
                          <a:prstTxWarp prst="textNoShape"/>
                        </wps:bodyPr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4102100" y="1395095"/>
                            <a:ext cx="1468755" cy="1209040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  <a:solidFill>
                            <a:schemeClr val="bg1"/>
                          </a:solidFill>
                          <a:ln cap="flat" cmpd="sng">
                            <a:solidFill>
                              <a:schemeClr val="bg1"/>
                            </a:solidFill>
                            <a:prstDash val="solid"/>
                          </a:ln>
                        </wps:spPr>
                        <wps:txbx style="" inset="9pt,9pt,9pt,9pt">
                          <w:txbxContent>
                            <w:p>
                              <w:pPr>
                                <w:bidi w:val="0"/>
                                <w:numPr>
                                  <w:ilvl w:val="0"/>
                                  <w:numId w:val="0"/>
                                </w:numPr>
                                <w:jc w:val="left"/>
                                <w:spacing w:lineRule="auto" w:line="240" w:before="0" w:after="0"/>
                                <w:ind w:right="0" w:left="1" w:hanging="1"/>
                                <w:rPr>
                                  <w:color w:val="000000" w:themeColor="text1"/>
                                  <w:position w:val="0"/>
                                  <w:sz w:val="20"/>
                                  <w:szCs w:val="20"/>
                                  <w:rFonts w:ascii="宋体" w:eastAsia="宋体" w:hAnsi="宋体" w:hint="default"/>
                                </w:rPr>
                                <w:wordWrap w:val="off"/>
                                <w:autoSpaceDE w:val="1"/>
                                <w:autoSpaceDN w:val="1"/>
                              </w:pPr>
                              <w:r>
                                <w:rPr>
                                  <w:color w:val="000000" w:themeColor="text1"/>
                                  <w:position w:val="0"/>
                                  <w:sz w:val="20"/>
                                  <w:szCs w:val="20"/>
                                  <w:rFonts w:ascii="宋体" w:eastAsia="宋体" w:hAnsi="宋体" w:hint="default"/>
                                </w:rPr>
                                <w:t>报账手续由各实验员</w:t>
                              </w:r>
                              <w:r>
                                <w:rPr>
                                  <w:color w:val="000000" w:themeColor="text1"/>
                                  <w:position w:val="0"/>
                                  <w:sz w:val="20"/>
                                  <w:szCs w:val="20"/>
                                  <w:rFonts w:ascii="宋体" w:eastAsia="宋体" w:hAnsi="宋体" w:hint="default"/>
                                </w:rPr>
                                <w:t>负责，并将完备资料</w:t>
                              </w:r>
                              <w:r>
                                <w:rPr>
                                  <w:color w:val="000000" w:themeColor="text1"/>
                                  <w:position w:val="0"/>
                                  <w:sz w:val="20"/>
                                  <w:szCs w:val="20"/>
                                  <w:rFonts w:ascii="宋体" w:eastAsia="宋体" w:hAnsi="宋体" w:hint="default"/>
                                </w:rPr>
                                <w:t>交于财务人员报账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10490" tIns="110490" rIns="110490" bIns="110490" numCol="1" spcCol="0" rtlCol="0" fromWordArt="0" anchor="ctr" anchorCtr="0" forceAA="0" compatLnSpc="0" upright="1">
                          <a:prstTxWarp prst="textNoShape"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9" style="position:static;width:438.7pt;height:291.9pt;z-index:251624960" coordorigin="2080,902" coordsize="8775,5839">
                <v:roundrect id="_x0000_s10" type="#_x0000_t2" style="position:absolute;left:2081;top:3129;width:2312;height:2338;v-text-anchor:middle;z-index:251624960" strokecolor="#ffffff" o:allowoverlap="1" strokeweight="0.-5pt" fillcolor="#ffffff" filled="t" adj="10000" arcsize="10000f">
                  <v:textbox style="" inset="9pt,9pt,9pt,9pt">
                    <w:txbxContent>
                      <w:p>
                        <w:pPr>
                          <w:bidi w:val="0"/>
                          <w:numPr>
                            <w:ilvl w:val="0"/>
                            <w:numId w:val="0"/>
                          </w:numPr>
                          <w:jc w:val="center"/>
                          <w:spacing w:lineRule="auto" w:line="240" w:before="0" w:after="0"/>
                          <w:ind w:right="0" w:left="1" w:hanging="1"/>
                          <w:rPr>
                            <w:color w:val="000000" w:themeColor="text1"/>
                            <w:position w:val="0"/>
                            <w:sz w:val="20"/>
                            <w:szCs w:val="20"/>
                            <w:rFonts w:ascii="宋体" w:eastAsia="宋体" w:hAnsi="宋体" w:hint="default"/>
                          </w:rPr>
                          <w:wordWrap w:val="off"/>
                          <w:autoSpaceDE w:val="1"/>
                          <w:autoSpaceDN w:val="1"/>
                        </w:pPr>
                        <w:r>
                          <w:rPr>
                            <w:color w:val="000000" w:themeColor="text1"/>
                            <w:position w:val="0"/>
                            <w:sz w:val="20"/>
                            <w:szCs w:val="20"/>
                            <w:rFonts w:ascii="宋体" w:eastAsia="宋体" w:hAnsi="宋体" w:hint="default"/>
                          </w:rPr>
                          <w:t>校园建设与管理科为</w:t>
                        </w:r>
                        <w:r>
                          <w:rPr>
                            <w:color w:val="000000" w:themeColor="text1"/>
                            <w:position w:val="0"/>
                            <w:sz w:val="20"/>
                            <w:szCs w:val="20"/>
                            <w:rFonts w:ascii="宋体" w:eastAsia="宋体" w:hAnsi="宋体" w:hint="default"/>
                          </w:rPr>
                          <w:t>每个学部实验员开设</w:t>
                        </w:r>
                        <w:r>
                          <w:rPr>
                            <w:color w:val="000000" w:themeColor="text1"/>
                            <w:position w:val="0"/>
                            <w:sz w:val="20"/>
                            <w:szCs w:val="20"/>
                            <w:rFonts w:ascii="宋体" w:eastAsia="宋体" w:hAnsi="宋体" w:hint="default"/>
                          </w:rPr>
                          <w:t>晋江市福大发展中心</w:t>
                        </w:r>
                        <w:r>
                          <w:rPr>
                            <w:color w:val="000000" w:themeColor="text1"/>
                            <w:position w:val="0"/>
                            <w:sz w:val="20"/>
                            <w:szCs w:val="20"/>
                            <w:rFonts w:ascii="宋体" w:eastAsia="宋体" w:hAnsi="宋体" w:hint="default"/>
                          </w:rPr>
                          <w:t>的网上超市采购账号</w:t>
                        </w:r>
                      </w:p>
                    </w:txbxContent>
                  </v:textbox>
                </v:roundrect>
                <v:shapetype id="_x0000_t13" coordsize="21600,21600" o:spt="13" o:preferrelative="t" path="m@0,l@0@1,0@1,0@2@0@2@0,21600,21600,10800xe" adj="16200,5400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1" type="#_x0000_t13" style="position:absolute;left:4620;top:3533;width:494;height:578;z-index:251624961" stroked="f" fillcolor="#b5cbe7" filled="t" adj="10804,6336"/>
                <v:roundrect id="_x0000_s12" type="#_x0000_t2" style="position:absolute;left:5170;top:2492;width:2615;height:4230;v-text-anchor:middle;z-index:251624962" strokecolor="#ffffff" o:allowoverlap="1" strokeweight="0.-5pt" fillcolor="#ffffff" filled="t" adj="10000" arcsize="10000f">
                  <v:textbox style="" inset="9pt,9pt,9pt,9pt">
                    <w:txbxContent>
                      <w:p>
                        <w:pPr>
                          <w:bidi w:val="0"/>
                          <w:numPr>
                            <w:ilvl w:val="0"/>
                            <w:numId w:val="0"/>
                          </w:numPr>
                          <w:jc w:val="left"/>
                          <w:spacing w:lineRule="auto" w:line="240" w:before="0" w:after="0"/>
                          <w:ind w:right="0" w:left="1" w:hanging="1"/>
                          <w:rPr>
                            <w:color w:val="000000" w:themeColor="text1"/>
                            <w:position w:val="0"/>
                            <w:sz w:val="20"/>
                            <w:szCs w:val="20"/>
                            <w:rFonts w:ascii="宋体" w:eastAsia="宋体" w:hAnsi="宋体" w:hint="default"/>
                          </w:rPr>
                          <w:wordWrap w:val="off"/>
                          <w:autoSpaceDE w:val="1"/>
                          <w:autoSpaceDN w:val="1"/>
                        </w:pPr>
                        <w:r>
                          <w:rPr>
                            <w:color w:val="000000" w:themeColor="text1"/>
                            <w:position w:val="0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  <w:rFonts w:ascii="宋体" w:eastAsia="宋体" w:hAnsi="宋体" w:hint="default"/>
                          </w:rPr>
                          <w:t>线上备案和线下申报同</w:t>
                        </w:r>
                        <w:r>
                          <w:rPr>
                            <w:color w:val="000000" w:themeColor="text1"/>
                            <w:position w:val="0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  <w:rFonts w:ascii="宋体" w:eastAsia="宋体" w:hAnsi="宋体" w:hint="default"/>
                          </w:rPr>
                          <w:t>时进行（线上备案由各</w:t>
                        </w:r>
                        <w:r>
                          <w:rPr>
                            <w:color w:val="000000" w:themeColor="text1"/>
                            <w:position w:val="0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  <w:rFonts w:ascii="宋体" w:eastAsia="宋体" w:hAnsi="宋体" w:hint="default"/>
                          </w:rPr>
                          <w:t>实验员负责本学部采购</w:t>
                        </w:r>
                        <w:r>
                          <w:rPr>
                            <w:color w:val="000000" w:themeColor="text1"/>
                            <w:position w:val="0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  <w:rFonts w:ascii="宋体" w:eastAsia="宋体" w:hAnsi="宋体" w:hint="default"/>
                          </w:rPr>
                          <w:t>备案，线下申报1万元</w:t>
                        </w:r>
                        <w:r>
                          <w:rPr>
                            <w:color w:val="000000" w:themeColor="text1"/>
                            <w:position w:val="0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  <w:rFonts w:ascii="宋体" w:eastAsia="宋体" w:hAnsi="宋体" w:hint="default"/>
                          </w:rPr>
                          <w:t>以下由实验员、校园建</w:t>
                        </w:r>
                        <w:r>
                          <w:rPr>
                            <w:color w:val="000000" w:themeColor="text1"/>
                            <w:position w:val="0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  <w:rFonts w:ascii="宋体" w:eastAsia="宋体" w:hAnsi="宋体" w:hint="default"/>
                          </w:rPr>
                          <w:t>设与管理科分管领导审</w:t>
                        </w:r>
                        <w:r>
                          <w:rPr>
                            <w:color w:val="000000" w:themeColor="text1"/>
                            <w:position w:val="0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  <w:rFonts w:ascii="宋体" w:eastAsia="宋体" w:hAnsi="宋体" w:hint="default"/>
                          </w:rPr>
                          <w:t>批，1万元以上3万元</w:t>
                        </w:r>
                        <w:r>
                          <w:rPr>
                            <w:color w:val="000000" w:themeColor="text1"/>
                            <w:position w:val="0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  <w:rFonts w:ascii="宋体" w:eastAsia="宋体" w:hAnsi="宋体" w:hint="default"/>
                          </w:rPr>
                          <w:t>（含3万元）以下由实</w:t>
                        </w:r>
                        <w:r>
                          <w:rPr>
                            <w:color w:val="000000" w:themeColor="text1"/>
                            <w:position w:val="0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  <w:rFonts w:ascii="宋体" w:eastAsia="宋体" w:hAnsi="宋体" w:hint="default"/>
                          </w:rPr>
                          <w:t>验员、校园建设与管理</w:t>
                        </w:r>
                        <w:r>
                          <w:rPr>
                            <w:color w:val="000000" w:themeColor="text1"/>
                            <w:position w:val="0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  <w:rFonts w:ascii="宋体" w:eastAsia="宋体" w:hAnsi="宋体" w:hint="default"/>
                          </w:rPr>
                          <w:t>科分管领导、管委会主</w:t>
                        </w:r>
                        <w:r>
                          <w:rPr>
                            <w:color w:val="000000" w:themeColor="text1"/>
                            <w:position w:val="0"/>
                            <w:sz w:val="20"/>
                            <w:szCs w:val="20"/>
                            <w14:textFill>
                              <w14:solidFill>
                                <w14:schemeClr w14:val="tx1"/>
                              </w14:solidFill>
                            </w14:textFill>
                            <w:rFonts w:ascii="宋体" w:eastAsia="宋体" w:hAnsi="宋体" w:hint="default"/>
                          </w:rPr>
                          <w:t>任审批）</w:t>
                        </w:r>
                      </w:p>
                    </w:txbxContent>
                  </v:textbox>
                </v:roundrect>
                <v:shapetype id="_x0000_t13" coordsize="21600,21600" o:spt="13" o:preferrelative="t" path="m@0,l@0@1,0@1,0@2@0@2@0,21600,21600,10800xe" adj="16200,5400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3" type="#_x0000_t13" style="position:absolute;left:7848;top:3533;width:494;height:578;z-index:251624963" stroked="f" fillcolor="#b5cbe7" filled="t" adj="10804,6336"/>
                <v:roundrect id="_x0000_s14" type="#_x0000_t2" style="position:absolute;left:8540;top:3099;width:2312;height:1903;v-text-anchor:middle;z-index:251624964" strokecolor="#ffffff" o:allowoverlap="1" strokeweight="0.-5pt" fillcolor="#ffffff" filled="t" adj="10000" arcsize="10000f">
                  <v:textbox style="" inset="9pt,9pt,9pt,9pt">
                    <w:txbxContent>
                      <w:p>
                        <w:pPr>
                          <w:bidi w:val="0"/>
                          <w:numPr>
                            <w:ilvl w:val="0"/>
                            <w:numId w:val="0"/>
                          </w:numPr>
                          <w:jc w:val="left"/>
                          <w:spacing w:lineRule="auto" w:line="240" w:before="0" w:after="0"/>
                          <w:ind w:right="0" w:left="1" w:hanging="1"/>
                          <w:rPr>
                            <w:color w:val="000000" w:themeColor="text1"/>
                            <w:position w:val="0"/>
                            <w:sz w:val="20"/>
                            <w:szCs w:val="20"/>
                            <w:rFonts w:ascii="宋体" w:eastAsia="宋体" w:hAnsi="宋体" w:hint="default"/>
                          </w:rPr>
                          <w:wordWrap w:val="off"/>
                          <w:autoSpaceDE w:val="1"/>
                          <w:autoSpaceDN w:val="1"/>
                        </w:pPr>
                        <w:r>
                          <w:rPr>
                            <w:color w:val="000000" w:themeColor="text1"/>
                            <w:position w:val="0"/>
                            <w:sz w:val="20"/>
                            <w:szCs w:val="20"/>
                            <w:rFonts w:ascii="宋体" w:eastAsia="宋体" w:hAnsi="宋体" w:hint="default"/>
                          </w:rPr>
                          <w:t>报账手续由各实验员</w:t>
                        </w:r>
                        <w:r>
                          <w:rPr>
                            <w:color w:val="000000" w:themeColor="text1"/>
                            <w:position w:val="0"/>
                            <w:sz w:val="20"/>
                            <w:szCs w:val="20"/>
                            <w:rFonts w:ascii="宋体" w:eastAsia="宋体" w:hAnsi="宋体" w:hint="default"/>
                          </w:rPr>
                          <w:t>负责，并将完备资料</w:t>
                        </w:r>
                        <w:r>
                          <w:rPr>
                            <w:color w:val="000000" w:themeColor="text1"/>
                            <w:position w:val="0"/>
                            <w:sz w:val="20"/>
                            <w:szCs w:val="20"/>
                            <w:rFonts w:ascii="宋体" w:eastAsia="宋体" w:hAnsi="宋体" w:hint="default"/>
                          </w:rPr>
                          <w:t>交于财务人员报账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4.复印费，300元以上须附复印费清单。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5.维修费、大额测试费以及音响、服装等租用费，须附清单。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6.出版/文献/信息传播/知识产权事务费：指项目研究开发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过程中需要支付的出版费、书籍购买费、资料费、文献检索费、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专用软件购置费、专业通信费、专利申请与维护费，以及知识产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权顾问费等各项费用。外单位协作费、出版资助费，须附合同或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协议原件。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7.测试化验加工费：指在项目研究开发过程中支付给外单位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（包括承担单位内部独立经济核算单位）的检验、测试、化验及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加工等费用。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8.房屋等租赁业务、广告宣传费，须附合同或协议原件。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黑体" w:eastAsia="彩虹黑体" w:hAnsi="彩虹黑体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黑体" w:eastAsia="彩虹黑体" w:hAnsi="彩虹黑体" w:hint="default"/>
        </w:rPr>
        <w:t>三、经费报销注意事项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b w:val="1"/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1.票据的印章要求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left="0" w:firstLine="56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（1）发票：必须印有税务机关统一发票监制章，并加盖开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具发票单位的发票专用章或财务专用章。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left="0" w:firstLine="560"/>
        <w:rPr>
          <w:b w:val="1"/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开票信息：</w:t>
      </w:r>
    </w:p>
    <w:p>
      <w:pPr>
        <w:bidi w:val="0"/>
        <w:numPr>
          <w:ilvl w:val="0"/>
          <w:numId w:val="0"/>
        </w:numPr>
        <w:jc w:val="left"/>
        <w:kinsoku w:val="0"/>
        <w:spacing w:lineRule="auto" w:line="360" w:before="0" w:after="0"/>
        <w:ind w:right="0" w:left="0" w:firstLine="640"/>
        <w:rPr>
          <w:spacing w:val="0"/>
          <w:vertAlign w:val="baseline"/>
          <w:color w:val="auto"/>
          <w:position w:val="0"/>
          <w:sz w:val="32"/>
          <w:szCs w:val="32"/>
          <w:smallCaps w:val="0"/>
          <w:rFonts w:ascii="彩虹粗仿宋" w:eastAsia="彩虹粗仿宋" w:hAnsi="彩虹粗仿宋" w:hint="default"/>
        </w:rPr>
        <w:wordWrap w:val="off"/>
        <w:snapToGrid w:val="on"/>
        <w:autoSpaceDE w:val="0"/>
        <w:autoSpaceDN w:val="0"/>
      </w:pPr>
      <w:r>
        <w:rPr>
          <w:spacing w:val="0"/>
          <w:vertAlign w:val="baseline"/>
          <w:color w:val="auto"/>
          <w:position w:val="0"/>
          <w:sz w:val="32"/>
          <w:szCs w:val="32"/>
          <w:smallCaps w:val="0"/>
          <w:rFonts w:ascii="彩虹粗仿宋" w:eastAsia="彩虹粗仿宋" w:hAnsi="彩虹粗仿宋" w:hint="default"/>
        </w:rPr>
        <w:t>名称：晋江市福大科教园区发展中心</w:t>
      </w:r>
    </w:p>
    <w:p>
      <w:pPr>
        <w:bidi w:val="0"/>
        <w:numPr>
          <w:ilvl w:val="0"/>
          <w:numId w:val="0"/>
        </w:numPr>
        <w:jc w:val="left"/>
        <w:kinsoku w:val="0"/>
        <w:spacing w:lineRule="auto" w:line="360" w:before="0" w:after="0"/>
        <w:ind w:right="0" w:left="0" w:firstLine="640"/>
        <w:rPr>
          <w:spacing w:val="0"/>
          <w:vertAlign w:val="baseline"/>
          <w:color w:val="auto"/>
          <w:position w:val="0"/>
          <w:sz w:val="32"/>
          <w:szCs w:val="32"/>
          <w:smallCaps w:val="0"/>
          <w:rFonts w:ascii="彩虹粗仿宋" w:eastAsia="彩虹粗仿宋" w:hAnsi="彩虹粗仿宋" w:hint="default"/>
        </w:rPr>
        <w:wordWrap w:val="off"/>
        <w:snapToGrid w:val="on"/>
        <w:autoSpaceDE w:val="0"/>
        <w:autoSpaceDN w:val="0"/>
      </w:pPr>
      <w:r>
        <w:rPr>
          <w:spacing w:val="0"/>
          <w:vertAlign w:val="baseline"/>
          <w:color w:val="auto"/>
          <w:position w:val="0"/>
          <w:sz w:val="32"/>
          <w:szCs w:val="32"/>
          <w:smallCaps w:val="0"/>
          <w:rFonts w:ascii="彩虹粗仿宋" w:eastAsia="彩虹粗仿宋" w:hAnsi="彩虹粗仿宋" w:hint="default"/>
        </w:rPr>
        <w:t>纳税人识别号：12350582MB0542440E</w:t>
      </w:r>
    </w:p>
    <w:p>
      <w:pPr>
        <w:bidi w:val="0"/>
        <w:numPr>
          <w:ilvl w:val="0"/>
          <w:numId w:val="0"/>
        </w:numPr>
        <w:jc w:val="left"/>
        <w:kinsoku w:val="0"/>
        <w:spacing w:lineRule="auto" w:line="360" w:before="0" w:after="0"/>
        <w:ind w:right="0" w:left="0" w:firstLine="640"/>
        <w:rPr>
          <w:spacing w:val="0"/>
          <w:vertAlign w:val="baseline"/>
          <w:color w:val="auto"/>
          <w:position w:val="0"/>
          <w:sz w:val="32"/>
          <w:szCs w:val="32"/>
          <w:smallCaps w:val="0"/>
          <w:rFonts w:ascii="彩虹粗仿宋" w:eastAsia="彩虹粗仿宋" w:hAnsi="彩虹粗仿宋" w:hint="default"/>
        </w:rPr>
        <w:wordWrap w:val="off"/>
        <w:snapToGrid w:val="on"/>
        <w:autoSpaceDE w:val="0"/>
        <w:autoSpaceDN w:val="0"/>
      </w:pPr>
      <w:r>
        <w:rPr>
          <w:spacing w:val="0"/>
          <w:vertAlign w:val="baseline"/>
          <w:color w:val="auto"/>
          <w:position w:val="0"/>
          <w:sz w:val="32"/>
          <w:szCs w:val="32"/>
          <w:smallCaps w:val="0"/>
          <w:rFonts w:ascii="彩虹粗仿宋" w:eastAsia="彩虹粗仿宋" w:hAnsi="彩虹粗仿宋" w:hint="default"/>
        </w:rPr>
        <w:t>地址、电话：晋江市金井镇福州大学科教园区内，82660817</w:t>
      </w:r>
    </w:p>
    <w:p>
      <w:pPr>
        <w:bidi w:val="0"/>
        <w:numPr>
          <w:ilvl w:val="0"/>
          <w:numId w:val="0"/>
        </w:numPr>
        <w:jc w:val="left"/>
        <w:kinsoku w:val="0"/>
        <w:spacing w:lineRule="auto" w:line="360" w:before="0" w:after="0"/>
        <w:ind w:left="2880" w:right="0" w:hanging="2240"/>
        <w:rPr>
          <w:spacing w:val="0"/>
          <w:vertAlign w:val="baseline"/>
          <w:color w:val="auto"/>
          <w:position w:val="0"/>
          <w:sz w:val="32"/>
          <w:szCs w:val="32"/>
          <w:smallCaps w:val="0"/>
          <w:rFonts w:ascii="彩虹粗仿宋" w:eastAsia="彩虹粗仿宋" w:hAnsi="彩虹粗仿宋" w:hint="default"/>
        </w:rPr>
        <w:wordWrap w:val="off"/>
        <w:snapToGrid w:val="on"/>
        <w:autoSpaceDE w:val="0"/>
        <w:autoSpaceDN w:val="0"/>
      </w:pPr>
      <w:r>
        <w:rPr>
          <w:spacing w:val="0"/>
          <w:vertAlign w:val="baseline"/>
          <w:color w:val="auto"/>
          <w:position w:val="0"/>
          <w:sz w:val="32"/>
          <w:szCs w:val="32"/>
          <w:smallCaps w:val="0"/>
          <w:rFonts w:ascii="彩虹粗仿宋" w:eastAsia="彩虹粗仿宋" w:hAnsi="彩虹粗仿宋" w:hint="default"/>
        </w:rPr>
        <w:t>开户行及账号：中国建设银行股份有限公司晋江分行</w:t>
      </w:r>
      <w:r>
        <w:rPr>
          <w:spacing w:val="0"/>
          <w:vertAlign w:val="baseline"/>
          <w:color w:val="auto"/>
          <w:position w:val="0"/>
          <w:sz w:val="32"/>
          <w:szCs w:val="32"/>
          <w:smallCaps w:val="0"/>
          <w:rFonts w:ascii="彩虹粗仿宋" w:eastAsia="彩虹粗仿宋" w:hAnsi="彩虹粗仿宋" w:hint="default"/>
        </w:rPr>
        <w:t>1408012129022307429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left="0" w:firstLine="56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（2）收据：必须印有财政部门监制章，并加盖收据使用单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位的财务专用章。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b w:val="1"/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2、票据的内容要求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（1）经费报销应提供税务、财政监制或有关行业（如邮政、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电信、铁路等）的规范票据方可报销，白条及不规范的票据，报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账人员可拒绝受理。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left="0" w:firstLine="56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（2）必须注明接受票据单位的名称、填制日期、经济业务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内容、计量单位、数量、单价、金额、填制票据单位公章和填票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人，票据内容必须完整。内容不明确的票据予以退回，待补齐后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方可报销。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left="0" w:firstLine="56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（3）原始票据应保持完全，不得涂改、挖补、刮擦，金额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的大小写必须相符，否则无效。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left="0" w:firstLine="56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（4）原始票据如有错误的，应由开出单位重开或更正，更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正处应当加盖开出单位公章。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left="0" w:firstLine="56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（5）票据复印件不得作为报销凭证。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left="0" w:firstLine="56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（6）在超市等大型商场购物需报销时，除提供发票外，还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需附购物电脑明细小票，商品名称要明确，方可报销。</w:t>
      </w:r>
    </w:p>
    <w:p>
      <w:pPr>
        <w:numPr>
          <w:ilvl w:val="0"/>
          <w:numId w:val="0"/>
        </w:numPr>
        <w:jc w:val="left"/>
        <w:spacing w:lineRule="exact" w:line="560" w:before="0" w:after="0"/>
        <w:ind w:right="0" w:left="0" w:firstLine="56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（7）原始票据需由晋江市福大科教园区发展中心办公室审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核、并经单位负责人审批签字后，方可报销。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spacing w:val="0"/>
          <w:vertAlign w:val="baseline"/>
          <w:i w:val="0"/>
          <w:b w:val="1"/>
          <w:imprint w:val="0"/>
          <w:emboss w:val="0"/>
          <w:outline w:val="0"/>
          <w:shadow w:val="0"/>
          <w:color w:val="auto"/>
          <w:position w:val="0"/>
          <w:sz w:val="32"/>
          <w:szCs w:val="32"/>
          <w:u w:val="none"/>
          <w:smallCaps w:val="0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spacing w:val="0"/>
          <w:vertAlign w:val="baseline"/>
          <w:i w:val="0"/>
          <w:b w:val="1"/>
          <w:imprint w:val="0"/>
          <w:emboss w:val="0"/>
          <w:outline w:val="0"/>
          <w:shadow w:val="0"/>
          <w:color w:val="auto"/>
          <w:position w:val="0"/>
          <w:sz w:val="32"/>
          <w:szCs w:val="32"/>
          <w:u w:val="none"/>
          <w:smallCaps w:val="0"/>
          <w:rFonts w:ascii="彩虹粗仿宋" w:eastAsia="彩虹粗仿宋" w:hAnsi="彩虹粗仿宋" w:hint="default"/>
        </w:rPr>
        <w:t>3.经费使用其他事项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（1）项目经费使用原则上采用银行转账方式结算。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（2）在研项目的科研启动基金仅限于科研期限内使用，超</w:t>
      </w: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过期限不进行结转。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附件1：《晋江市内交通费报销审核表》</w:t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highlight w:val="yellow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附件2：出差审批单</w:t>
      </w:r>
      <w:r>
        <w:br w:type="page"/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sz w:val="20"/>
        </w:rPr>
        <w:drawing>
          <wp:anchor distT="0" distB="0" distL="114300" distR="114300" simplePos="0" relativeHeight="251624956" behindDoc="1" locked="0" layoutInCell="1" allowOverlap="1">
            <wp:simplePos x="0" y="0"/>
            <wp:positionH relativeFrom="column">
              <wp:posOffset>208920</wp:posOffset>
            </wp:positionH>
            <wp:positionV relativeFrom="paragraph">
              <wp:posOffset>375290</wp:posOffset>
            </wp:positionV>
            <wp:extent cx="5328920" cy="7196455"/>
            <wp:effectExtent l="0" t="0" r="0" b="0"/>
            <wp:wrapNone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/Users/AMEI/AppData/Roaming/JisuOffice/ETemp/9920_12842096/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555" cy="719709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  <w:r>
        <w:rPr>
          <w:b w:val="0"/>
          <w:color w:val="auto"/>
          <w:position w:val="0"/>
          <w:sz w:val="32"/>
          <w:szCs w:val="32"/>
          <w:rFonts w:ascii="彩虹粗仿宋" w:eastAsia="彩虹粗仿宋" w:hAnsi="彩虹粗仿宋" w:hint="default"/>
        </w:rPr>
        <w:t>附件3：晋江市事业单位差旅费报销规定</w:t>
      </w:r>
      <w:r>
        <w:br w:type="page"/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sz w:val="20"/>
        </w:rPr>
        <w:drawing>
          <wp:anchor distT="0" distB="0" distL="114300" distR="114300" simplePos="0" relativeHeight="251624957" behindDoc="1" locked="0" layoutInCell="1" allowOverlap="1">
            <wp:simplePos x="0" y="0"/>
            <wp:positionH relativeFrom="column">
              <wp:posOffset>205745</wp:posOffset>
            </wp:positionH>
            <wp:positionV relativeFrom="paragraph">
              <wp:posOffset>-1274</wp:posOffset>
            </wp:positionV>
            <wp:extent cx="5328920" cy="7468870"/>
            <wp:effectExtent l="0" t="0" r="0" b="0"/>
            <wp:wrapNone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/Users/AMEI/AppData/Roaming/JisuOffice/ETemp/9920_12842096/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555" cy="7469505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br w:type="page"/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  <w:r>
        <w:rPr>
          <w:sz w:val="20"/>
        </w:rPr>
        <w:drawing>
          <wp:anchor distT="0" distB="0" distL="114300" distR="114300" simplePos="0" relativeHeight="251624958" behindDoc="1" locked="0" layoutInCell="1" allowOverlap="1">
            <wp:simplePos x="0" y="0"/>
            <wp:positionH relativeFrom="column">
              <wp:posOffset>158119</wp:posOffset>
            </wp:positionH>
            <wp:positionV relativeFrom="paragraph">
              <wp:posOffset>-24770</wp:posOffset>
            </wp:positionV>
            <wp:extent cx="5328920" cy="4346575"/>
            <wp:effectExtent l="0" t="0" r="0" b="0"/>
            <wp:wrapNone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/Users/AMEI/AppData/Roaming/JisuOffice/ETemp/9920_12842096/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555" cy="434721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114300" distR="114300" simplePos="0" relativeHeight="251624959" behindDoc="1" locked="0" layoutInCell="1" allowOverlap="1">
            <wp:simplePos x="0" y="0"/>
            <wp:positionH relativeFrom="column">
              <wp:posOffset>158119</wp:posOffset>
            </wp:positionH>
            <wp:positionV relativeFrom="paragraph">
              <wp:posOffset>-26675</wp:posOffset>
            </wp:positionV>
            <wp:extent cx="5328920" cy="7507605"/>
            <wp:effectExtent l="0" t="0" r="0" b="0"/>
            <wp:wrapNone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/Users/AMEI/AppData/Roaming/JisuOffice/ETemp/9920_12842096/image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555" cy="7508240"/>
                    </a:xfrm>
                    <a:prstGeom prst="rect"/>
                    <a:ln cap="flat"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32"/>
          <w:szCs w:val="32"/>
          <w:rFonts w:ascii="彩虹粗仿宋" w:eastAsia="彩虹粗仿宋" w:hAnsi="彩虹粗仿宋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exact" w:line="560" w:before="0" w:after="0"/>
        <w:ind w:right="0" w:left="0" w:firstLine="640"/>
        <w:rPr>
          <w:color w:val="auto"/>
          <w:position w:val="0"/>
          <w:sz w:val="20"/>
          <w:szCs w:val="20"/>
          <w:rFonts w:ascii="宋体" w:eastAsia="宋体" w:hAnsi="宋体" w:hint="default"/>
        </w:rPr>
        <w:wordWrap w:val="off"/>
        <w:autoSpaceDE w:val="1"/>
        <w:autoSpaceDN w:val="1"/>
      </w:pPr>
      <w:r>
        <w:br w:type="page"/>
      </w:r>
    </w:p>
    <w:sect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彩虹小标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彩虹粗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彩虹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rFonts w:ascii="Times New Roman" w:eastAsia="Times New Roman" w:hAnsi="Times New Roman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qFormat/>
    <w:uiPriority w:val="5"/>
  </w:style>
  <w:style w:styleId="PO6" w:type="paragraph">
    <w:name w:val="Title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qFormat/>
    <w:uiPriority w:val="7"/>
    <w:pPr>
      <w:autoSpaceDE w:val="1"/>
      <w:autoSpaceDN w:val="1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qFormat/>
    <w:uiPriority w:val="8"/>
    <w:pPr>
      <w:autoSpaceDE w:val="1"/>
      <w:autoSpaceDN w:val="1"/>
      <w:widowControl/>
      <w:wordWrap/>
    </w:pPr>
  </w:style>
  <w:style w:styleId="PO9" w:type="paragraph">
    <w:name w:val="heading 3"/>
    <w:qFormat/>
    <w:uiPriority w:val="9"/>
    <w:pPr>
      <w:autoSpaceDE w:val="1"/>
      <w:autoSpaceDN w:val="1"/>
      <w:ind w:left="1000" w:hanging="400"/>
      <w:widowControl/>
      <w:wordWrap/>
    </w:pPr>
  </w:style>
  <w:style w:styleId="PO10" w:type="paragraph">
    <w:name w:val="heading 4"/>
    <w:qFormat/>
    <w:uiPriority w:val="10"/>
    <w:pPr>
      <w:autoSpaceDE w:val="1"/>
      <w:autoSpaceDN w:val="1"/>
      <w:ind w:left="1200" w:hanging="400"/>
      <w:widowControl/>
      <w:wordWrap/>
    </w:pPr>
    <w:rPr>
      <w:b/>
      <w:shd w:val="clear"/>
      <w:sz w:val="20"/>
      <w:szCs w:val="20"/>
      <w:w w:val="100"/>
    </w:rPr>
  </w:style>
  <w:style w:styleId="PO11" w:type="paragraph">
    <w:name w:val="heading 5"/>
    <w:qFormat/>
    <w:uiPriority w:val="11"/>
    <w:pPr>
      <w:autoSpaceDE w:val="1"/>
      <w:autoSpaceDN w:val="1"/>
      <w:ind w:left="1400" w:hanging="400"/>
      <w:widowControl/>
      <w:wordWrap/>
    </w:pPr>
  </w:style>
  <w:style w:styleId="PO12" w:type="paragraph">
    <w:name w:val="heading 6"/>
    <w:qFormat/>
    <w:uiPriority w:val="12"/>
    <w:pPr>
      <w:autoSpaceDE w:val="1"/>
      <w:autoSpaceDN w:val="1"/>
      <w:ind w:left="1600" w:hanging="400"/>
      <w:widowControl/>
      <w:wordWrap/>
    </w:pPr>
    <w:rPr>
      <w:b/>
      <w:shd w:val="clear"/>
      <w:sz w:val="20"/>
      <w:szCs w:val="20"/>
      <w:w w:val="100"/>
    </w:rPr>
  </w:style>
  <w:style w:styleId="PO13" w:type="paragraph">
    <w:name w:val="heading 7"/>
    <w:qFormat/>
    <w:uiPriority w:val="13"/>
    <w:pPr>
      <w:autoSpaceDE w:val="1"/>
      <w:autoSpaceDN w:val="1"/>
      <w:ind w:left="1800" w:hanging="400"/>
      <w:widowControl/>
      <w:wordWrap/>
    </w:pPr>
  </w:style>
  <w:style w:styleId="PO14" w:type="paragraph">
    <w:name w:val="heading 8"/>
    <w:qFormat/>
    <w:uiPriority w:val="14"/>
    <w:pPr>
      <w:autoSpaceDE w:val="1"/>
      <w:autoSpaceDN w:val="1"/>
      <w:ind w:left="2000" w:hanging="400"/>
      <w:widowControl/>
      <w:wordWrap/>
    </w:pPr>
  </w:style>
  <w:style w:styleId="PO15" w:type="paragraph">
    <w:name w:val="heading 9"/>
    <w:qFormat/>
    <w:uiPriority w:val="15"/>
    <w:pPr>
      <w:autoSpaceDE w:val="1"/>
      <w:autoSpaceDN w:val="1"/>
      <w:ind w:left="2200" w:hanging="400"/>
      <w:widowControl/>
      <w:wordWrap/>
    </w:pPr>
  </w:style>
  <w:style w:styleId="PO16" w:type="paragraph">
    <w:name w:val="Subtitle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 w:color="000000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 w:color="000000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 w:color="000000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 w:color="000000"/>
      <w:sz w:val="21"/>
      <w:szCs w:val="21"/>
      <w:w w:val="100"/>
    </w:rPr>
  </w:style>
  <w:style w:styleId="PO21" w:type="paragraph">
    <w:name w:val="Quote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0"/>
      <w:szCs w:val="20"/>
      <w:w w:val="100"/>
    </w:rPr>
  </w:style>
  <w:style w:styleId="PO22" w:type="paragraph">
    <w:name w:val="Intense Quote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0"/>
      <w:szCs w:val="20"/>
      <w:w w:val="100"/>
    </w:rPr>
  </w:style>
  <w:style w:styleId="PO23" w:type="character">
    <w:name w:val="Subtle Reference"/>
    <w:qFormat/>
    <w:uiPriority w:val="23"/>
    <w:rPr>
      <w:color w:val="5A5A5A"/>
      <w:shd w:val="clear" w:color="000000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 w:color="000000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 w:color="000000"/>
      <w:sz w:val="21"/>
      <w:szCs w:val="21"/>
      <w:w w:val="100"/>
    </w:rPr>
  </w:style>
  <w:style w:styleId="PO26" w:type="paragraph">
    <w:name w:val="List Paragraph"/>
    <w:qFormat/>
    <w:uiPriority w:val="26"/>
    <w:pPr>
      <w:autoSpaceDE w:val="1"/>
      <w:autoSpaceDN w:val="1"/>
      <w:ind w:left="850" w:firstLine="0"/>
      <w:widowControl/>
      <w:wordWrap/>
    </w:pPr>
  </w:style>
  <w:style w:styleId="PO27" w:type="paragraph">
    <w:name w:val="TOC Heading"/>
    <w:qFormat/>
    <w:uiPriority w:val="27"/>
    <w:unhideWhenUsed/>
    <w:rPr>
      <w:color w:val="2E74B5"/>
      <w:shd w:val="clear"/>
      <w:sz w:val="32"/>
      <w:szCs w:val="32"/>
      <w:w w:val="100"/>
    </w:rPr>
  </w:style>
  <w:style w:styleId="PO28" w:type="paragraph">
    <w:name w:val="toc 1"/>
    <w:qFormat/>
    <w:uiPriority w:val="28"/>
    <w:unhideWhenUsed/>
  </w:style>
  <w:style w:styleId="PO29" w:type="paragraph">
    <w:name w:val="toc 2"/>
    <w:qFormat/>
    <w:uiPriority w:val="29"/>
    <w:unhideWhenUsed/>
    <w:pPr>
      <w:autoSpaceDE w:val="1"/>
      <w:autoSpaceDN w:val="1"/>
      <w:ind w:left="425" w:firstLine="0"/>
      <w:widowControl/>
      <w:wordWrap/>
    </w:pPr>
  </w:style>
  <w:style w:styleId="PO30" w:type="paragraph">
    <w:name w:val="toc 3"/>
    <w:qFormat/>
    <w:uiPriority w:val="30"/>
    <w:unhideWhenUsed/>
    <w:pPr>
      <w:autoSpaceDE w:val="1"/>
      <w:autoSpaceDN w:val="1"/>
      <w:ind w:left="850" w:firstLine="0"/>
      <w:widowControl/>
      <w:wordWrap/>
    </w:pPr>
  </w:style>
  <w:style w:styleId="PO31" w:type="paragraph">
    <w:name w:val="toc 4"/>
    <w:qFormat/>
    <w:uiPriority w:val="31"/>
    <w:unhideWhenUsed/>
    <w:pPr>
      <w:autoSpaceDE w:val="1"/>
      <w:autoSpaceDN w:val="1"/>
      <w:ind w:left="1275" w:firstLine="0"/>
      <w:widowControl/>
      <w:wordWrap/>
    </w:pPr>
  </w:style>
  <w:style w:styleId="PO32" w:type="paragraph">
    <w:name w:val="toc 5"/>
    <w:qFormat/>
    <w:uiPriority w:val="32"/>
    <w:unhideWhenUsed/>
    <w:pPr>
      <w:autoSpaceDE w:val="1"/>
      <w:autoSpaceDN w:val="1"/>
      <w:ind w:left="1700" w:firstLine="0"/>
      <w:widowControl/>
      <w:wordWrap/>
    </w:pPr>
  </w:style>
  <w:style w:styleId="PO33" w:type="paragraph">
    <w:name w:val="toc 6"/>
    <w:qFormat/>
    <w:uiPriority w:val="33"/>
    <w:unhideWhenUsed/>
    <w:pPr>
      <w:autoSpaceDE w:val="1"/>
      <w:autoSpaceDN w:val="1"/>
      <w:ind w:left="2125" w:firstLine="0"/>
      <w:widowControl/>
      <w:wordWrap/>
    </w:pPr>
  </w:style>
  <w:style w:styleId="PO34" w:type="paragraph">
    <w:name w:val="toc 7"/>
    <w:qFormat/>
    <w:uiPriority w:val="34"/>
    <w:unhideWhenUsed/>
    <w:pPr>
      <w:autoSpaceDE w:val="1"/>
      <w:autoSpaceDN w:val="1"/>
      <w:ind w:left="2550" w:firstLine="0"/>
      <w:widowControl/>
      <w:wordWrap/>
    </w:pPr>
  </w:style>
  <w:style w:styleId="PO35" w:type="paragraph">
    <w:name w:val="toc 8"/>
    <w:qFormat/>
    <w:uiPriority w:val="35"/>
    <w:unhideWhenUsed/>
    <w:pPr>
      <w:autoSpaceDE w:val="1"/>
      <w:autoSpaceDN w:val="1"/>
      <w:ind w:left="2975" w:firstLine="0"/>
      <w:widowControl/>
      <w:wordWrap/>
    </w:pPr>
  </w:style>
  <w:style w:styleId="PO36" w:type="paragraph">
    <w:name w:val="toc 9"/>
    <w:qFormat/>
    <w:uiPriority w:val="36"/>
    <w:unhideWhenUsed/>
    <w:pPr>
      <w:autoSpaceDE w:val="1"/>
      <w:autoSpaceDN w:val="1"/>
      <w:ind w:left="3400" w:firstLine="0"/>
      <w:widowControl/>
      <w:wordWrap/>
    </w:p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uiPriority w:val="38"/>
    <w:pPr>
      <w:autoSpaceDE w:val="1"/>
      <w:autoSpaceDN w:val="1"/>
      <w:jc w:val="both"/>
      <w:widowControl/>
      <w:wordWrap/>
    </w:pPr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header"/>
    <w:basedOn w:val="PO1"/>
    <w:link w:val="PO153"/>
    <w:uiPriority w:val="152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3" w:type="character">
    <w:name w:val="页眉 Char"/>
    <w:basedOn w:val="PO2"/>
    <w:link w:val="PO152"/>
    <w:uiPriority w:val="153"/>
    <w:semiHidden/>
    <w:rPr>
      <w:shd w:val="clear" w:color="000000"/>
      <w:sz w:val="18"/>
      <w:szCs w:val="18"/>
      <w:w w:val="100"/>
    </w:rPr>
  </w:style>
  <w:style w:styleId="PO154" w:type="paragraph">
    <w:name w:val="footer"/>
    <w:basedOn w:val="PO1"/>
    <w:link w:val="PO155"/>
    <w:uiPriority w:val="154"/>
    <w:semiHidden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5" w:type="character">
    <w:name w:val="页脚 Char"/>
    <w:basedOn w:val="PO2"/>
    <w:link w:val="PO154"/>
    <w:uiPriority w:val="155"/>
    <w:semiHidden/>
    <w:rPr>
      <w:shd w:val="clear" w:color="000000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image" Target="media/image1.png"></Relationship><Relationship Id="rId6" Type="http://schemas.openxmlformats.org/officeDocument/2006/relationships/image" Target="media/image2.png"></Relationship><Relationship Id="rId7" Type="http://schemas.openxmlformats.org/officeDocument/2006/relationships/image" Target="media/image3.png"></Relationship><Relationship Id="rId8" Type="http://schemas.openxmlformats.org/officeDocument/2006/relationships/image" Target="media/image4.png"></Relationship><Relationship Id="rId9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黑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宋体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Company>Home</Company>
  <DocSecurity>0</DocSecurity>
  <HyperlinksChanged>false</HyperlinksChanged>
  <Lines>1</Lines>
  <LinksUpToDate>false</LinksUpToDate>
  <Pages>8</Pages>
  <Paragraphs>3</Paragraphs>
  <Words>1416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gwh</dc:creator>
  <cp:lastModifiedBy/>
  <dcterms:modified xsi:type="dcterms:W3CDTF">2019-05-13T03:37:00Z</dcterms:modified>
</cp:coreProperties>
</file>